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83" w:rsidRDefault="005B5683" w:rsidP="005B5683">
      <w:pPr>
        <w:spacing w:after="0" w:line="240" w:lineRule="auto"/>
        <w:jc w:val="both"/>
        <w:rPr>
          <w:b/>
          <w:lang w:val="ro-RO"/>
        </w:rPr>
      </w:pPr>
      <w:r>
        <w:rPr>
          <w:b/>
          <w:noProof/>
          <w:lang w:eastAsia="hu-HU"/>
        </w:rPr>
        <w:drawing>
          <wp:inline distT="0" distB="0" distL="0" distR="0">
            <wp:extent cx="415925" cy="605790"/>
            <wp:effectExtent l="19050" t="0" r="3175" b="0"/>
            <wp:docPr id="1" name="Kép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ro-RO"/>
        </w:rPr>
        <w:t>ROMANIA</w:t>
      </w:r>
    </w:p>
    <w:p w:rsidR="005B5683" w:rsidRDefault="005B5683" w:rsidP="005B5683">
      <w:pPr>
        <w:spacing w:after="0" w:line="24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              JUDEȚUL BIHOR</w:t>
      </w:r>
    </w:p>
    <w:p w:rsidR="005B5683" w:rsidRDefault="005B5683" w:rsidP="005B5683">
      <w:pPr>
        <w:spacing w:after="0" w:line="24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              COMUNA SĂLACEA</w:t>
      </w:r>
    </w:p>
    <w:p w:rsidR="005B5683" w:rsidRDefault="005B5683" w:rsidP="005B5683">
      <w:pPr>
        <w:spacing w:after="0" w:line="24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              CIF;4784300</w:t>
      </w:r>
    </w:p>
    <w:p w:rsidR="005B5683" w:rsidRDefault="005B5683" w:rsidP="00410723">
      <w:pPr>
        <w:spacing w:after="0" w:line="24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</w:t>
      </w:r>
    </w:p>
    <w:p w:rsidR="005B5683" w:rsidRDefault="005B5683" w:rsidP="005B5683">
      <w:pPr>
        <w:spacing w:after="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</w:t>
      </w:r>
      <w:r w:rsidR="00410723">
        <w:rPr>
          <w:b/>
          <w:lang w:val="ro-RO"/>
        </w:rPr>
        <w:t xml:space="preserve"> </w:t>
      </w:r>
      <w:r w:rsidR="006E46F7">
        <w:rPr>
          <w:b/>
          <w:lang w:val="ro-RO"/>
        </w:rPr>
        <w:t xml:space="preserve">     H O T A R A R E A  Nr.24</w:t>
      </w:r>
      <w:r w:rsidR="00CD2F9D">
        <w:rPr>
          <w:b/>
          <w:lang w:val="ro-RO"/>
        </w:rPr>
        <w:t>.-</w:t>
      </w:r>
    </w:p>
    <w:p w:rsidR="00CD2F9D" w:rsidRDefault="00CD2F9D" w:rsidP="005B5683">
      <w:pPr>
        <w:spacing w:after="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</w:t>
      </w:r>
      <w:r w:rsidR="00410723">
        <w:rPr>
          <w:b/>
          <w:lang w:val="ro-RO"/>
        </w:rPr>
        <w:t xml:space="preserve">                          </w:t>
      </w:r>
      <w:r>
        <w:rPr>
          <w:b/>
          <w:lang w:val="ro-RO"/>
        </w:rPr>
        <w:t xml:space="preserve"> din 31 martie 2021.-</w:t>
      </w:r>
    </w:p>
    <w:p w:rsidR="005B5683" w:rsidRDefault="005B5683" w:rsidP="005B5683">
      <w:pPr>
        <w:spacing w:after="0"/>
        <w:jc w:val="both"/>
        <w:rPr>
          <w:b/>
          <w:lang w:val="ro-RO"/>
        </w:rPr>
      </w:pPr>
    </w:p>
    <w:p w:rsidR="005B5683" w:rsidRDefault="005B5683" w:rsidP="005B5683">
      <w:pPr>
        <w:spacing w:after="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privind însușirea documentației topo – cadastrale de însc</w:t>
      </w:r>
      <w:r w:rsidR="00CD2F9D">
        <w:rPr>
          <w:b/>
          <w:lang w:val="ro-RO"/>
        </w:rPr>
        <w:t>riere în Carte funciară al unui teren</w:t>
      </w:r>
      <w:r>
        <w:rPr>
          <w:b/>
          <w:lang w:val="ro-RO"/>
        </w:rPr>
        <w:t xml:space="preserve">  din intravilan în localitatea Sălacea,comuna Sălacea,județul Bihor.-</w:t>
      </w:r>
    </w:p>
    <w:p w:rsidR="005B5683" w:rsidRDefault="005B5683" w:rsidP="005B5683">
      <w:pPr>
        <w:spacing w:after="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</w:t>
      </w:r>
    </w:p>
    <w:p w:rsidR="005B5683" w:rsidRDefault="005B5683" w:rsidP="005B5683">
      <w:pPr>
        <w:spacing w:after="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Vazand Referatul de specialiate  întocmit</w:t>
      </w:r>
      <w:r w:rsidR="00CD2F9D">
        <w:rPr>
          <w:b/>
          <w:lang w:val="ro-RO"/>
        </w:rPr>
        <w:t xml:space="preserve"> de re</w:t>
      </w:r>
      <w:r w:rsidR="00572C5C">
        <w:rPr>
          <w:b/>
          <w:lang w:val="ro-RO"/>
        </w:rPr>
        <w:t xml:space="preserve">ferentul agricol cu nr.1252./18 </w:t>
      </w:r>
      <w:r w:rsidR="00CD2F9D">
        <w:rPr>
          <w:b/>
          <w:lang w:val="ro-RO"/>
        </w:rPr>
        <w:t xml:space="preserve"> martie</w:t>
      </w:r>
      <w:r>
        <w:rPr>
          <w:b/>
          <w:lang w:val="ro-RO"/>
        </w:rPr>
        <w:t xml:space="preserve"> 2021 și Referatul de aprobare</w:t>
      </w:r>
      <w:r w:rsidR="00CD2F9D">
        <w:rPr>
          <w:b/>
          <w:lang w:val="ro-RO"/>
        </w:rPr>
        <w:t xml:space="preserve"> al p</w:t>
      </w:r>
      <w:r w:rsidR="00572C5C">
        <w:rPr>
          <w:b/>
          <w:lang w:val="ro-RO"/>
        </w:rPr>
        <w:t xml:space="preserve">rimarului comunei cu nr.1251/. 18 </w:t>
      </w:r>
      <w:r w:rsidR="00CD2F9D">
        <w:rPr>
          <w:b/>
          <w:lang w:val="ro-RO"/>
        </w:rPr>
        <w:t>martie</w:t>
      </w:r>
      <w:r>
        <w:rPr>
          <w:b/>
          <w:lang w:val="ro-RO"/>
        </w:rPr>
        <w:t xml:space="preserve"> 2021;</w:t>
      </w:r>
    </w:p>
    <w:p w:rsidR="005B5683" w:rsidRDefault="005B5683" w:rsidP="005B5683">
      <w:pPr>
        <w:spacing w:after="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Avizul favorabil al Comisiei buget –finanțe gospodărie comunală;</w:t>
      </w:r>
    </w:p>
    <w:p w:rsidR="005B5683" w:rsidRDefault="005B5683" w:rsidP="005B5683">
      <w:pPr>
        <w:spacing w:after="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Reținand prevederile Ordinului Directorului General al Agenției Naționale de Cadasatru și Publicitate Imobiliară nr.700/2014,cu modificările și completările ulterioare,ale Legii cadastrului și publiccității imobiliare nr.7/1996,republicată,,ale Legii nr.213/1998 privind bunurile proprietatea publică,precum și ale Codului Civil;</w:t>
      </w:r>
    </w:p>
    <w:p w:rsidR="005B5683" w:rsidRDefault="005B5683" w:rsidP="005B5683">
      <w:pPr>
        <w:spacing w:after="0"/>
        <w:jc w:val="both"/>
        <w:rPr>
          <w:b/>
          <w:lang w:val="ro-RO"/>
        </w:rPr>
      </w:pPr>
      <w:r>
        <w:rPr>
          <w:b/>
          <w:lang w:val="ro-RO"/>
        </w:rPr>
        <w:t xml:space="preserve">                În temeiul prevederilor art.133 alin.1,art.139 alin.3 lit.e și g și art.196 alin.1 lit.a din O.U.G.nr.57/2019 privind Codul administrativ,se propune Consiliului Local Sălacea adoptarea unei hotărari,după cum urmează;</w:t>
      </w:r>
    </w:p>
    <w:p w:rsidR="00410723" w:rsidRDefault="00572C5C" w:rsidP="005B5683">
      <w:pPr>
        <w:spacing w:after="0"/>
        <w:jc w:val="both"/>
        <w:rPr>
          <w:b/>
          <w:lang w:val="ro-RO"/>
        </w:rPr>
      </w:pPr>
      <w:r>
        <w:rPr>
          <w:b/>
          <w:lang w:val="ro-RO"/>
        </w:rPr>
        <w:t xml:space="preserve">               Consiliul Local  al Comunei Sălacea în unanimitate de voturi pentru, </w:t>
      </w:r>
    </w:p>
    <w:p w:rsidR="00410723" w:rsidRDefault="00410723" w:rsidP="005B5683">
      <w:pPr>
        <w:spacing w:after="0"/>
        <w:jc w:val="both"/>
        <w:rPr>
          <w:b/>
          <w:lang w:val="ro-RO"/>
        </w:rPr>
      </w:pPr>
    </w:p>
    <w:p w:rsidR="00572C5C" w:rsidRDefault="00410723" w:rsidP="005B5683">
      <w:pPr>
        <w:spacing w:after="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H O T Ă R A Ș T E;</w:t>
      </w:r>
      <w:r w:rsidR="00572C5C">
        <w:rPr>
          <w:b/>
          <w:lang w:val="ro-RO"/>
        </w:rPr>
        <w:t xml:space="preserve">    </w:t>
      </w:r>
    </w:p>
    <w:p w:rsidR="005B5683" w:rsidRDefault="005B5683" w:rsidP="005B5683">
      <w:pPr>
        <w:spacing w:after="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Art.1.-Se aprobă delimitarea și înscrierea în CF nou Sălacea,sat.Sălacea,în favoarea Co</w:t>
      </w:r>
      <w:r w:rsidR="00CD2F9D">
        <w:rPr>
          <w:b/>
          <w:lang w:val="ro-RO"/>
        </w:rPr>
        <w:t>munei Sălacea în domeniul public al unui teren</w:t>
      </w:r>
      <w:r>
        <w:rPr>
          <w:b/>
          <w:lang w:val="ro-RO"/>
        </w:rPr>
        <w:t xml:space="preserve"> din intravilan,după cum urmează;</w:t>
      </w:r>
    </w:p>
    <w:p w:rsidR="005B5683" w:rsidRDefault="005B5683" w:rsidP="005B5683">
      <w:pPr>
        <w:spacing w:after="0"/>
        <w:jc w:val="both"/>
        <w:rPr>
          <w:b/>
          <w:lang w:val="ro-RO"/>
        </w:rPr>
      </w:pPr>
    </w:p>
    <w:tbl>
      <w:tblPr>
        <w:tblStyle w:val="Rcsostblzat"/>
        <w:tblW w:w="9588" w:type="dxa"/>
        <w:tblLook w:val="04A0"/>
      </w:tblPr>
      <w:tblGrid>
        <w:gridCol w:w="400"/>
        <w:gridCol w:w="2339"/>
        <w:gridCol w:w="3323"/>
        <w:gridCol w:w="1251"/>
        <w:gridCol w:w="2275"/>
      </w:tblGrid>
      <w:tr w:rsidR="005B5683" w:rsidTr="005B5683">
        <w:trPr>
          <w:trHeight w:val="187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83" w:rsidRDefault="005B5683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83" w:rsidRDefault="005B5683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Teren în intravilan,</w:t>
            </w:r>
          </w:p>
          <w:p w:rsidR="00CD2F9D" w:rsidRDefault="00CD2F9D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teren neîmprejmuit</w:t>
            </w:r>
          </w:p>
          <w:p w:rsidR="005B5683" w:rsidRDefault="005B5683">
            <w:pPr>
              <w:jc w:val="both"/>
              <w:rPr>
                <w:b/>
                <w:lang w:val="ro-RO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83" w:rsidRDefault="00CD2F9D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Adev.nr.12426,nr.topo.670</w:t>
            </w:r>
          </w:p>
          <w:p w:rsidR="005B5683" w:rsidRDefault="005B5683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83" w:rsidRDefault="005B5683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în suprafața</w:t>
            </w:r>
          </w:p>
          <w:p w:rsidR="005B5683" w:rsidRDefault="005B5683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totală de </w:t>
            </w:r>
          </w:p>
          <w:p w:rsidR="005B5683" w:rsidRDefault="00CD2F9D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  <w:r w:rsidR="005B5683">
              <w:rPr>
                <w:b/>
                <w:lang w:val="ro-RO"/>
              </w:rPr>
              <w:t xml:space="preserve"> mp.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83" w:rsidRDefault="005B5683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conform mem.tehnic</w:t>
            </w:r>
          </w:p>
          <w:p w:rsidR="005B5683" w:rsidRDefault="005B5683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și al planului de</w:t>
            </w:r>
          </w:p>
          <w:p w:rsidR="005B5683" w:rsidRDefault="005B5683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amplasament și deli-</w:t>
            </w:r>
          </w:p>
          <w:p w:rsidR="005B5683" w:rsidRDefault="005B5683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mitare a imoblului</w:t>
            </w:r>
          </w:p>
          <w:p w:rsidR="005B5683" w:rsidRDefault="005B5683">
            <w:pPr>
              <w:jc w:val="both"/>
              <w:rPr>
                <w:b/>
                <w:lang w:val="ro-RO"/>
              </w:rPr>
            </w:pPr>
          </w:p>
        </w:tc>
      </w:tr>
    </w:tbl>
    <w:p w:rsidR="005B5683" w:rsidRDefault="005B5683" w:rsidP="005B5683">
      <w:pPr>
        <w:spacing w:after="0"/>
        <w:jc w:val="both"/>
        <w:rPr>
          <w:b/>
          <w:lang w:val="ro-RO"/>
        </w:rPr>
      </w:pPr>
    </w:p>
    <w:p w:rsidR="005B5683" w:rsidRDefault="005B5683" w:rsidP="005B5683">
      <w:pPr>
        <w:spacing w:after="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Art.2.-Se însușește documentația topo – cadastrală de înscriere în carte funciară ale imobilelor mai sus amintiet,situate în localitatea Sălacea,întocmit de persoană fizică auto</w:t>
      </w:r>
      <w:r w:rsidR="00CD2F9D">
        <w:rPr>
          <w:b/>
          <w:lang w:val="ro-RO"/>
        </w:rPr>
        <w:t>rizată ing.Mariscas Cristian Gabriel</w:t>
      </w:r>
      <w:r>
        <w:rPr>
          <w:b/>
          <w:lang w:val="ro-RO"/>
        </w:rPr>
        <w:t>ce se constituie în anexă care face parte integrantă la  hotărare ce se propune pentru adoptare;</w:t>
      </w:r>
    </w:p>
    <w:p w:rsidR="005B5683" w:rsidRDefault="005B5683" w:rsidP="005B5683">
      <w:pPr>
        <w:spacing w:after="0"/>
        <w:jc w:val="both"/>
        <w:rPr>
          <w:b/>
          <w:lang w:val="ro-RO"/>
        </w:rPr>
      </w:pPr>
    </w:p>
    <w:p w:rsidR="00CD2F9D" w:rsidRDefault="005B5683" w:rsidP="00CD2F9D">
      <w:pPr>
        <w:spacing w:after="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</w:t>
      </w:r>
      <w:r w:rsidR="00CD2F9D">
        <w:rPr>
          <w:b/>
          <w:lang w:val="ro-RO"/>
        </w:rPr>
        <w:t>PREȘEDINTE DE ȘEDINȚĂ,                                                     Contrasemnează,</w:t>
      </w:r>
    </w:p>
    <w:p w:rsidR="005B5683" w:rsidRDefault="005B5683" w:rsidP="005B5683">
      <w:pPr>
        <w:spacing w:after="0"/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CD2F9D">
        <w:rPr>
          <w:b/>
          <w:lang w:val="ro-RO"/>
        </w:rPr>
        <w:t xml:space="preserve">              Vida Attila - Jozsef</w:t>
      </w:r>
      <w:r>
        <w:rPr>
          <w:b/>
          <w:lang w:val="ro-RO"/>
        </w:rPr>
        <w:t xml:space="preserve">                               </w:t>
      </w:r>
      <w:r w:rsidR="00CD2F9D">
        <w:rPr>
          <w:b/>
          <w:lang w:val="ro-RO"/>
        </w:rPr>
        <w:t xml:space="preserve">                             </w:t>
      </w:r>
      <w:r>
        <w:rPr>
          <w:b/>
          <w:lang w:val="ro-RO"/>
        </w:rPr>
        <w:t xml:space="preserve"> Secretar general UAT,</w:t>
      </w:r>
    </w:p>
    <w:p w:rsidR="005B5683" w:rsidRDefault="005B5683" w:rsidP="005B5683">
      <w:pPr>
        <w:spacing w:after="0"/>
        <w:jc w:val="both"/>
      </w:pPr>
      <w:r>
        <w:rPr>
          <w:b/>
          <w:lang w:val="ro-RO"/>
        </w:rPr>
        <w:t xml:space="preserve">                                                                                                                               Tatai Tibor</w:t>
      </w:r>
    </w:p>
    <w:p w:rsidR="00577F49" w:rsidRDefault="00577F49"/>
    <w:sectPr w:rsidR="00577F49" w:rsidSect="0057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B5683"/>
    <w:rsid w:val="00047E0E"/>
    <w:rsid w:val="003E13A8"/>
    <w:rsid w:val="00410723"/>
    <w:rsid w:val="00572C5C"/>
    <w:rsid w:val="00577F49"/>
    <w:rsid w:val="005B5683"/>
    <w:rsid w:val="006E46F7"/>
    <w:rsid w:val="00AD223D"/>
    <w:rsid w:val="00CD2F9D"/>
    <w:rsid w:val="00EC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6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B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2298</Characters>
  <Application>Microsoft Office Word</Application>
  <DocSecurity>0</DocSecurity>
  <Lines>19</Lines>
  <Paragraphs>5</Paragraphs>
  <ScaleCrop>false</ScaleCrop>
  <Company>WXPEE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dcterms:created xsi:type="dcterms:W3CDTF">2021-04-14T08:23:00Z</dcterms:created>
  <dcterms:modified xsi:type="dcterms:W3CDTF">2021-04-14T08:23:00Z</dcterms:modified>
</cp:coreProperties>
</file>