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7271" w14:textId="77777777" w:rsidR="00994D8B" w:rsidRPr="0048385B" w:rsidRDefault="00994D8B" w:rsidP="00994D8B">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12C5173F" w14:textId="0EBA5213" w:rsidR="00994D8B" w:rsidRPr="0048385B" w:rsidRDefault="00994D8B" w:rsidP="00994D8B">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Pr>
          <w:rFonts w:ascii="Times New Roman" w:hAnsi="Times New Roman" w:cs="Times New Roman"/>
          <w:b/>
          <w:noProof/>
        </w:rPr>
        <w:t>telescoape</w:t>
      </w:r>
      <w:r w:rsidRPr="00365F26">
        <w:rPr>
          <w:rFonts w:ascii="Times New Roman" w:hAnsi="Times New Roman" w:cs="Times New Roman"/>
          <w:b/>
          <w:noProof/>
        </w:rPr>
        <w:t xml:space="preserve"> </w:t>
      </w:r>
      <w:r w:rsidRPr="0048385B">
        <w:rPr>
          <w:rFonts w:ascii="Times New Roman" w:eastAsia="Times New Roman" w:hAnsi="Times New Roman" w:cs="Times New Roman"/>
          <w:b/>
          <w:noProof/>
          <w:spacing w:val="-1"/>
        </w:rPr>
        <w:t>pentru obiectivul de investiții: „FROM ONE BRIDGE TO ANOTHER - DE LA UN POD LA ALTUL – HÍDTÓL HÍDIG”</w:t>
      </w:r>
    </w:p>
    <w:p w14:paraId="2E197639" w14:textId="77777777" w:rsidR="00994D8B" w:rsidRPr="0048385B" w:rsidRDefault="00994D8B" w:rsidP="00994D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12.01.2023 </w:t>
      </w:r>
    </w:p>
    <w:p w14:paraId="21D9343D" w14:textId="77777777" w:rsidR="00994D8B" w:rsidRPr="0048385B" w:rsidRDefault="00994D8B" w:rsidP="00994D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24B5BF3C" w14:textId="77777777" w:rsidR="00994D8B" w:rsidRPr="0048385B" w:rsidRDefault="00994D8B" w:rsidP="00994D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6B7627AD" w14:textId="33BE9CB2" w:rsidR="00994D8B" w:rsidRPr="0048385B" w:rsidRDefault="00994D8B" w:rsidP="00994D8B">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365F26">
        <w:rPr>
          <w:rFonts w:ascii="Times New Roman" w:eastAsia="Calibri" w:hAnsi="Times New Roman" w:cs="Times New Roman"/>
          <w:noProof/>
        </w:rPr>
        <w:t>38635000-5- Telescoape</w:t>
      </w:r>
    </w:p>
    <w:p w14:paraId="2EDD119C" w14:textId="2BEBA187" w:rsidR="00994D8B" w:rsidRPr="0048385B" w:rsidRDefault="00994D8B" w:rsidP="00994D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994D8B">
        <w:rPr>
          <w:rFonts w:ascii="Times New Roman" w:eastAsia="Calibri" w:hAnsi="Times New Roman" w:cs="Times New Roman"/>
          <w:b/>
          <w:noProof/>
          <w:spacing w:val="-1"/>
        </w:rPr>
        <w:t xml:space="preserve">28.050,00 </w:t>
      </w:r>
      <w:r w:rsidRPr="0048385B">
        <w:rPr>
          <w:rFonts w:ascii="Times New Roman" w:eastAsia="Calibri" w:hAnsi="Times New Roman" w:cs="Times New Roman"/>
          <w:b/>
          <w:noProof/>
          <w:spacing w:val="-1"/>
        </w:rPr>
        <w:t>lei fara TVA</w:t>
      </w:r>
    </w:p>
    <w:p w14:paraId="71F94797" w14:textId="77777777" w:rsidR="00994D8B" w:rsidRPr="0048385B" w:rsidRDefault="00994D8B" w:rsidP="00994D8B">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033C555C" w14:textId="77777777" w:rsidR="00994D8B" w:rsidRPr="0048385B" w:rsidRDefault="00994D8B" w:rsidP="00994D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3CA3544F" w14:textId="77777777" w:rsidR="00994D8B" w:rsidRPr="0048385B" w:rsidRDefault="00994D8B" w:rsidP="00994D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60E622C8" w14:textId="77777777" w:rsidR="00994D8B" w:rsidRPr="0048385B" w:rsidRDefault="00994D8B" w:rsidP="00994D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77D13974" w14:textId="77777777" w:rsidR="00994D8B" w:rsidRPr="0048385B" w:rsidRDefault="00994D8B" w:rsidP="00994D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30961F70" w14:textId="77777777" w:rsidR="00994D8B" w:rsidRPr="0048385B" w:rsidRDefault="00994D8B" w:rsidP="00994D8B">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2F4B4619" w14:textId="307E40D8" w:rsidR="00994D8B" w:rsidRDefault="00994D8B" w:rsidP="00365F26">
      <w:pPr>
        <w:pStyle w:val="Bodytext30"/>
        <w:shd w:val="clear" w:color="auto" w:fill="auto"/>
        <w:spacing w:line="360" w:lineRule="auto"/>
        <w:ind w:firstLine="0"/>
        <w:rPr>
          <w:noProof/>
          <w:sz w:val="24"/>
          <w:szCs w:val="24"/>
        </w:rPr>
      </w:pPr>
    </w:p>
    <w:p w14:paraId="768A73F5" w14:textId="388F87DF" w:rsidR="00994D8B" w:rsidRDefault="00994D8B" w:rsidP="00365F26">
      <w:pPr>
        <w:pStyle w:val="Bodytext30"/>
        <w:shd w:val="clear" w:color="auto" w:fill="auto"/>
        <w:spacing w:line="360" w:lineRule="auto"/>
        <w:ind w:firstLine="0"/>
        <w:rPr>
          <w:noProof/>
          <w:sz w:val="24"/>
          <w:szCs w:val="24"/>
        </w:rPr>
      </w:pPr>
    </w:p>
    <w:p w14:paraId="755C583D" w14:textId="72B22161" w:rsidR="00994D8B" w:rsidRDefault="00994D8B" w:rsidP="00365F26">
      <w:pPr>
        <w:pStyle w:val="Bodytext30"/>
        <w:shd w:val="clear" w:color="auto" w:fill="auto"/>
        <w:spacing w:line="360" w:lineRule="auto"/>
        <w:ind w:firstLine="0"/>
        <w:rPr>
          <w:noProof/>
          <w:sz w:val="24"/>
          <w:szCs w:val="24"/>
        </w:rPr>
      </w:pPr>
    </w:p>
    <w:p w14:paraId="36B784F1" w14:textId="3973F163" w:rsidR="00994D8B" w:rsidRDefault="00994D8B" w:rsidP="00365F26">
      <w:pPr>
        <w:pStyle w:val="Bodytext30"/>
        <w:shd w:val="clear" w:color="auto" w:fill="auto"/>
        <w:spacing w:line="360" w:lineRule="auto"/>
        <w:ind w:firstLine="0"/>
        <w:rPr>
          <w:noProof/>
          <w:sz w:val="24"/>
          <w:szCs w:val="24"/>
        </w:rPr>
      </w:pPr>
    </w:p>
    <w:p w14:paraId="300022A8" w14:textId="103E49A5" w:rsidR="00994D8B" w:rsidRDefault="00994D8B" w:rsidP="00365F26">
      <w:pPr>
        <w:pStyle w:val="Bodytext30"/>
        <w:shd w:val="clear" w:color="auto" w:fill="auto"/>
        <w:spacing w:line="360" w:lineRule="auto"/>
        <w:ind w:firstLine="0"/>
        <w:rPr>
          <w:noProof/>
          <w:sz w:val="24"/>
          <w:szCs w:val="24"/>
        </w:rPr>
      </w:pPr>
    </w:p>
    <w:p w14:paraId="409C04C6" w14:textId="3C7004DC" w:rsidR="00994D8B" w:rsidRDefault="00994D8B" w:rsidP="00365F26">
      <w:pPr>
        <w:pStyle w:val="Bodytext30"/>
        <w:shd w:val="clear" w:color="auto" w:fill="auto"/>
        <w:spacing w:line="360" w:lineRule="auto"/>
        <w:ind w:firstLine="0"/>
        <w:rPr>
          <w:noProof/>
          <w:sz w:val="24"/>
          <w:szCs w:val="24"/>
        </w:rPr>
      </w:pPr>
    </w:p>
    <w:p w14:paraId="30773919" w14:textId="68D6515E" w:rsidR="00994D8B" w:rsidRDefault="00994D8B" w:rsidP="00365F26">
      <w:pPr>
        <w:pStyle w:val="Bodytext30"/>
        <w:shd w:val="clear" w:color="auto" w:fill="auto"/>
        <w:spacing w:line="360" w:lineRule="auto"/>
        <w:ind w:firstLine="0"/>
        <w:rPr>
          <w:noProof/>
          <w:sz w:val="24"/>
          <w:szCs w:val="24"/>
        </w:rPr>
      </w:pPr>
    </w:p>
    <w:p w14:paraId="00FC6276" w14:textId="6D59FE24" w:rsidR="00994D8B" w:rsidRDefault="00994D8B" w:rsidP="00365F26">
      <w:pPr>
        <w:pStyle w:val="Bodytext30"/>
        <w:shd w:val="clear" w:color="auto" w:fill="auto"/>
        <w:spacing w:line="360" w:lineRule="auto"/>
        <w:ind w:firstLine="0"/>
        <w:rPr>
          <w:noProof/>
          <w:sz w:val="24"/>
          <w:szCs w:val="24"/>
        </w:rPr>
      </w:pPr>
    </w:p>
    <w:p w14:paraId="30778A8A" w14:textId="328E270A" w:rsidR="00994D8B" w:rsidRDefault="00994D8B" w:rsidP="00365F26">
      <w:pPr>
        <w:pStyle w:val="Bodytext30"/>
        <w:shd w:val="clear" w:color="auto" w:fill="auto"/>
        <w:spacing w:line="360" w:lineRule="auto"/>
        <w:ind w:firstLine="0"/>
        <w:rPr>
          <w:noProof/>
          <w:sz w:val="24"/>
          <w:szCs w:val="24"/>
        </w:rPr>
      </w:pPr>
    </w:p>
    <w:p w14:paraId="127C8453" w14:textId="77777777" w:rsidR="00994D8B" w:rsidRDefault="00994D8B" w:rsidP="00365F26">
      <w:pPr>
        <w:pStyle w:val="Bodytext30"/>
        <w:shd w:val="clear" w:color="auto" w:fill="auto"/>
        <w:spacing w:line="360" w:lineRule="auto"/>
        <w:ind w:firstLine="0"/>
        <w:rPr>
          <w:noProof/>
          <w:sz w:val="24"/>
          <w:szCs w:val="24"/>
        </w:rPr>
      </w:pPr>
    </w:p>
    <w:p w14:paraId="337E1A45" w14:textId="07C29EB7" w:rsidR="00994D8B" w:rsidRDefault="00994D8B" w:rsidP="00365F26">
      <w:pPr>
        <w:pStyle w:val="Bodytext30"/>
        <w:shd w:val="clear" w:color="auto" w:fill="auto"/>
        <w:spacing w:line="360" w:lineRule="auto"/>
        <w:ind w:firstLine="0"/>
        <w:rPr>
          <w:noProof/>
          <w:sz w:val="24"/>
          <w:szCs w:val="24"/>
        </w:rPr>
      </w:pPr>
    </w:p>
    <w:p w14:paraId="504F7732" w14:textId="139C9328" w:rsidR="00994D8B" w:rsidRDefault="00994D8B" w:rsidP="00365F26">
      <w:pPr>
        <w:pStyle w:val="Bodytext30"/>
        <w:shd w:val="clear" w:color="auto" w:fill="auto"/>
        <w:spacing w:line="360" w:lineRule="auto"/>
        <w:ind w:firstLine="0"/>
        <w:rPr>
          <w:noProof/>
          <w:sz w:val="24"/>
          <w:szCs w:val="24"/>
        </w:rPr>
      </w:pPr>
    </w:p>
    <w:p w14:paraId="78C61EC6" w14:textId="63978970" w:rsidR="00994D8B" w:rsidRDefault="00994D8B" w:rsidP="00365F26">
      <w:pPr>
        <w:pStyle w:val="Bodytext30"/>
        <w:shd w:val="clear" w:color="auto" w:fill="auto"/>
        <w:spacing w:line="360" w:lineRule="auto"/>
        <w:ind w:firstLine="0"/>
        <w:rPr>
          <w:noProof/>
          <w:sz w:val="24"/>
          <w:szCs w:val="24"/>
        </w:rPr>
      </w:pPr>
    </w:p>
    <w:p w14:paraId="4780831A" w14:textId="28324820" w:rsidR="00994D8B" w:rsidRDefault="00994D8B" w:rsidP="00365F26">
      <w:pPr>
        <w:pStyle w:val="Bodytext30"/>
        <w:shd w:val="clear" w:color="auto" w:fill="auto"/>
        <w:spacing w:line="360" w:lineRule="auto"/>
        <w:ind w:firstLine="0"/>
        <w:rPr>
          <w:noProof/>
          <w:sz w:val="24"/>
          <w:szCs w:val="24"/>
        </w:rPr>
      </w:pPr>
    </w:p>
    <w:p w14:paraId="2C05B8A3" w14:textId="728903DA" w:rsidR="00994D8B" w:rsidRDefault="00994D8B" w:rsidP="00365F26">
      <w:pPr>
        <w:pStyle w:val="Bodytext30"/>
        <w:shd w:val="clear" w:color="auto" w:fill="auto"/>
        <w:spacing w:line="360" w:lineRule="auto"/>
        <w:ind w:firstLine="0"/>
        <w:rPr>
          <w:noProof/>
          <w:sz w:val="24"/>
          <w:szCs w:val="24"/>
        </w:rPr>
      </w:pPr>
    </w:p>
    <w:p w14:paraId="0D65BCB5" w14:textId="77777777" w:rsidR="00994D8B" w:rsidRDefault="00994D8B" w:rsidP="00365F26">
      <w:pPr>
        <w:pStyle w:val="Bodytext30"/>
        <w:shd w:val="clear" w:color="auto" w:fill="auto"/>
        <w:spacing w:line="360" w:lineRule="auto"/>
        <w:ind w:firstLine="0"/>
        <w:rPr>
          <w:noProof/>
          <w:sz w:val="24"/>
          <w:szCs w:val="24"/>
        </w:rPr>
      </w:pPr>
    </w:p>
    <w:p w14:paraId="51A14AAB" w14:textId="77777777" w:rsidR="00994D8B" w:rsidRDefault="00994D8B" w:rsidP="00365F26">
      <w:pPr>
        <w:pStyle w:val="Bodytext30"/>
        <w:shd w:val="clear" w:color="auto" w:fill="auto"/>
        <w:spacing w:line="360" w:lineRule="auto"/>
        <w:ind w:firstLine="0"/>
        <w:rPr>
          <w:noProof/>
          <w:sz w:val="24"/>
          <w:szCs w:val="24"/>
        </w:rPr>
      </w:pPr>
    </w:p>
    <w:p w14:paraId="5C454FBD" w14:textId="75CCECB1"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4F7527D4"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EB1FB0">
        <w:rPr>
          <w:rFonts w:ascii="Times New Roman" w:hAnsi="Times New Roman" w:cs="Times New Roman"/>
          <w:b/>
          <w:noProof/>
        </w:rPr>
        <w:t>119</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310BE864"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EB1FB0">
        <w:rPr>
          <w:rFonts w:ascii="Times New Roman" w:hAnsi="Times New Roman" w:cs="Times New Roman"/>
          <w:b/>
          <w:noProof/>
        </w:rPr>
        <w:t>telescoape</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68E3D416"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EB1FB0" w:rsidRPr="00365F26">
        <w:rPr>
          <w:rFonts w:ascii="Times New Roman" w:eastAsia="Calibri" w:hAnsi="Times New Roman" w:cs="Times New Roman"/>
          <w:noProof/>
        </w:rPr>
        <w:t>38635000-5- Telescoape</w:t>
      </w:r>
    </w:p>
    <w:p w14:paraId="29AA1031" w14:textId="6A98DA41" w:rsidR="00C7636F" w:rsidRPr="00365F26"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EB1FB0" w:rsidRPr="00365F26">
        <w:rPr>
          <w:rFonts w:ascii="Times New Roman" w:eastAsia="Calibri" w:hAnsi="Times New Roman" w:cs="Times New Roman"/>
          <w:noProof/>
        </w:rPr>
        <w:t xml:space="preserve">28.050,00 </w:t>
      </w:r>
      <w:r w:rsidRPr="00365F26">
        <w:rPr>
          <w:rFonts w:ascii="Times New Roman" w:hAnsi="Times New Roman" w:cs="Times New Roman"/>
          <w:bCs/>
          <w:noProof/>
        </w:rPr>
        <w:t xml:space="preserve">lei </w:t>
      </w:r>
      <w:r w:rsidRPr="00365F26">
        <w:rPr>
          <w:rFonts w:ascii="Times New Roman" w:eastAsia="Calibri" w:hAnsi="Times New Roman" w:cs="Times New Roman"/>
          <w:noProof/>
          <w:lang w:eastAsia="ko-KR"/>
        </w:rPr>
        <w:t>fara TVA</w:t>
      </w:r>
      <w:r w:rsidRPr="00365F26">
        <w:rPr>
          <w:rFonts w:ascii="Times New Roman" w:eastAsia="SimSun" w:hAnsi="Times New Roman" w:cs="Times New Roman"/>
          <w:noProof/>
          <w:lang w:eastAsia="ko-KR"/>
        </w:rPr>
        <w:t>, conform bugetului proiectului:</w:t>
      </w:r>
    </w:p>
    <w:tbl>
      <w:tblPr>
        <w:tblW w:w="9535" w:type="dxa"/>
        <w:jc w:val="center"/>
        <w:tblLook w:val="04A0" w:firstRow="1" w:lastRow="0" w:firstColumn="1" w:lastColumn="0" w:noHBand="0" w:noVBand="1"/>
      </w:tblPr>
      <w:tblGrid>
        <w:gridCol w:w="636"/>
        <w:gridCol w:w="2599"/>
        <w:gridCol w:w="710"/>
        <w:gridCol w:w="1176"/>
        <w:gridCol w:w="1176"/>
        <w:gridCol w:w="1189"/>
        <w:gridCol w:w="2049"/>
      </w:tblGrid>
      <w:tr w:rsidR="00EB1FB0" w:rsidRPr="00365F26" w14:paraId="5BBCCC48" w14:textId="77777777" w:rsidTr="001A0ECD">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3D23C" w14:textId="77777777" w:rsidR="00EB1FB0" w:rsidRPr="00365F26" w:rsidRDefault="00EB1FB0" w:rsidP="001A0ECD">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52708" w14:textId="77777777" w:rsidR="00EB1FB0" w:rsidRPr="00365F26" w:rsidRDefault="00EB1FB0" w:rsidP="001A0ECD">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73294" w14:textId="77777777" w:rsidR="00EB1FB0" w:rsidRPr="00365F26" w:rsidRDefault="00EB1FB0" w:rsidP="001A0ECD">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14FC" w14:textId="77777777" w:rsidR="00EB1FB0" w:rsidRPr="00365F26" w:rsidRDefault="00EB1FB0" w:rsidP="001A0ECD">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EADCA62" w14:textId="77777777" w:rsidR="00EB1FB0" w:rsidRPr="00365F26" w:rsidRDefault="00EB1FB0" w:rsidP="001A0ECD">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EC57" w14:textId="77777777" w:rsidR="00EB1FB0" w:rsidRPr="00365F26" w:rsidRDefault="00EB1FB0" w:rsidP="001A0ECD">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452C9E2C" w14:textId="77777777" w:rsidR="00EB1FB0" w:rsidRPr="00365F26" w:rsidRDefault="00EB1FB0" w:rsidP="001A0ECD">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B1FB0" w:rsidRPr="00365F26" w14:paraId="32602E92" w14:textId="77777777" w:rsidTr="001A0ECD">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4F5DF3D" w14:textId="77777777" w:rsidR="00EB1FB0" w:rsidRPr="00365F26" w:rsidRDefault="00EB1FB0" w:rsidP="001A0ECD">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599" w:type="dxa"/>
            <w:tcBorders>
              <w:top w:val="nil"/>
              <w:left w:val="nil"/>
              <w:bottom w:val="single" w:sz="4" w:space="0" w:color="auto"/>
              <w:right w:val="single" w:sz="4" w:space="0" w:color="auto"/>
            </w:tcBorders>
            <w:shd w:val="clear" w:color="auto" w:fill="auto"/>
            <w:vAlign w:val="bottom"/>
          </w:tcPr>
          <w:p w14:paraId="17821562" w14:textId="77777777" w:rsidR="00EB1FB0" w:rsidRPr="00365F26" w:rsidRDefault="00EB1FB0" w:rsidP="001A0ECD">
            <w:pPr>
              <w:widowControl/>
              <w:spacing w:after="160" w:line="259" w:lineRule="auto"/>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Telescop</w:t>
            </w:r>
          </w:p>
        </w:tc>
        <w:tc>
          <w:tcPr>
            <w:tcW w:w="710" w:type="dxa"/>
            <w:tcBorders>
              <w:top w:val="nil"/>
              <w:left w:val="nil"/>
              <w:bottom w:val="single" w:sz="4" w:space="0" w:color="auto"/>
              <w:right w:val="single" w:sz="4" w:space="0" w:color="auto"/>
            </w:tcBorders>
            <w:shd w:val="clear" w:color="auto" w:fill="auto"/>
          </w:tcPr>
          <w:p w14:paraId="747B0B91" w14:textId="77777777" w:rsidR="00EB1FB0" w:rsidRPr="00365F26" w:rsidRDefault="00EB1FB0" w:rsidP="001A0ECD">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77B802" w14:textId="77777777" w:rsidR="00EB1FB0" w:rsidRPr="00365F26" w:rsidRDefault="00EB1FB0" w:rsidP="001A0ECD">
            <w:pPr>
              <w:jc w:val="center"/>
              <w:rPr>
                <w:rFonts w:ascii="Times New Roman" w:hAnsi="Times New Roman" w:cs="Times New Roman"/>
                <w:noProof/>
              </w:rPr>
            </w:pPr>
            <w:r w:rsidRPr="00365F26">
              <w:rPr>
                <w:rFonts w:ascii="Times New Roman" w:hAnsi="Times New Roman" w:cs="Times New Roman"/>
                <w:noProof/>
              </w:rPr>
              <w:t>2</w:t>
            </w:r>
          </w:p>
        </w:tc>
        <w:tc>
          <w:tcPr>
            <w:tcW w:w="1176" w:type="dxa"/>
            <w:tcBorders>
              <w:top w:val="nil"/>
              <w:left w:val="nil"/>
              <w:bottom w:val="single" w:sz="4" w:space="0" w:color="auto"/>
              <w:right w:val="single" w:sz="4" w:space="0" w:color="auto"/>
            </w:tcBorders>
            <w:shd w:val="clear" w:color="auto" w:fill="auto"/>
            <w:vAlign w:val="center"/>
          </w:tcPr>
          <w:p w14:paraId="1EDAE1CC" w14:textId="77777777" w:rsidR="00EB1FB0" w:rsidRPr="00365F26" w:rsidRDefault="00EB1FB0" w:rsidP="001A0ECD">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4E150402" w14:textId="77777777" w:rsidR="00EB1FB0" w:rsidRPr="00365F26" w:rsidRDefault="00EB1FB0" w:rsidP="001A0ECD">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1747A3B6" w14:textId="77777777" w:rsidR="00EB1FB0" w:rsidRPr="00365F26" w:rsidRDefault="00EB1FB0" w:rsidP="001A0ECD">
            <w:pPr>
              <w:jc w:val="right"/>
              <w:rPr>
                <w:rFonts w:ascii="Times New Roman" w:hAnsi="Times New Roman" w:cs="Times New Roman"/>
                <w:noProof/>
              </w:rPr>
            </w:pPr>
            <w:r w:rsidRPr="00365F26">
              <w:rPr>
                <w:rFonts w:ascii="Times New Roman" w:hAnsi="Times New Roman" w:cs="Times New Roman"/>
                <w:noProof/>
              </w:rPr>
              <w:t>Fisa tehnica nr.31</w:t>
            </w:r>
          </w:p>
        </w:tc>
      </w:tr>
      <w:tr w:rsidR="00EB1FB0" w:rsidRPr="00365F26" w14:paraId="4C407918" w14:textId="77777777" w:rsidTr="001A0ECD">
        <w:trPr>
          <w:trHeight w:val="315"/>
          <w:jc w:val="center"/>
        </w:trPr>
        <w:tc>
          <w:tcPr>
            <w:tcW w:w="6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6C62" w14:textId="77777777" w:rsidR="00EB1FB0" w:rsidRPr="00365F26" w:rsidRDefault="00EB1FB0" w:rsidP="001A0ECD">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7F35C12B" w14:textId="77777777" w:rsidR="00EB1FB0" w:rsidRPr="00365F26" w:rsidRDefault="00EB1FB0" w:rsidP="001A0ECD">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5A9C0503"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r w:rsidRPr="00365F26">
        <w:rPr>
          <w:rFonts w:ascii="Times New Roman" w:eastAsia="SimSun" w:hAnsi="Times New Roman" w:cs="Times New Roman"/>
          <w:b/>
          <w:noProof/>
          <w:color w:val="auto"/>
          <w:kern w:val="3"/>
          <w:lang w:eastAsia="zh-CN" w:bidi="hi-IN"/>
        </w:rPr>
        <w:br w:type="page"/>
      </w:r>
    </w:p>
    <w:p w14:paraId="2E79363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B215B3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9B5C75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31</w:t>
      </w:r>
    </w:p>
    <w:p w14:paraId="5DAC430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3493F36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AEE89E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T</w:t>
      </w:r>
      <w:r w:rsidRPr="00365F26">
        <w:rPr>
          <w:rFonts w:ascii="Times New Roman" w:eastAsia="SimSun" w:hAnsi="Times New Roman" w:cs="Times New Roman"/>
          <w:b/>
          <w:bCs/>
          <w:noProof/>
          <w:color w:val="auto"/>
          <w:kern w:val="3"/>
          <w:lang w:eastAsia="zh-CN" w:bidi="hi-IN"/>
        </w:rPr>
        <w:t xml:space="preserve">elescop </w:t>
      </w:r>
      <w:r w:rsidRPr="00365F26">
        <w:rPr>
          <w:rFonts w:ascii="Times New Roman" w:eastAsia="SimSun" w:hAnsi="Times New Roman" w:cs="Times New Roman"/>
          <w:caps/>
          <w:noProof/>
          <w:color w:val="auto"/>
          <w:kern w:val="3"/>
          <w:lang w:eastAsia="zh-CN" w:bidi="hi-IN"/>
        </w:rPr>
        <w:t>– 2 buc</w:t>
      </w:r>
    </w:p>
    <w:p w14:paraId="1C2DD6BD"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593C663"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59F8149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2E808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04CC1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15CE5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9AC15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1B386FE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3B24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EC54F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8494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3CD80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03248EF7" w14:textId="77777777" w:rsidTr="00666874">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8AB1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3916A2" w14:textId="77777777" w:rsidR="00FE630B" w:rsidRPr="00365F26" w:rsidRDefault="00FE630B" w:rsidP="00365F26">
            <w:pPr>
              <w:widowControl/>
              <w:autoSpaceDE w:val="0"/>
              <w:autoSpaceDN w:val="0"/>
              <w:adjustRightInd w:val="0"/>
              <w:rPr>
                <w:rFonts w:ascii="Times New Roman" w:eastAsia="SimSun" w:hAnsi="Times New Roman" w:cs="Times New Roman"/>
                <w:b/>
                <w:bCs/>
                <w:noProof/>
                <w:color w:val="auto"/>
                <w:kern w:val="3"/>
                <w:u w:val="single"/>
                <w:lang w:eastAsia="zh-CN" w:bidi="hi-IN"/>
              </w:rPr>
            </w:pPr>
            <w:r w:rsidRPr="00365F26">
              <w:rPr>
                <w:rFonts w:ascii="Times New Roman" w:eastAsia="SimSun" w:hAnsi="Times New Roman" w:cs="Times New Roman"/>
                <w:b/>
                <w:bCs/>
                <w:noProof/>
                <w:color w:val="auto"/>
                <w:kern w:val="3"/>
                <w:u w:val="single"/>
                <w:lang w:eastAsia="en-US" w:bidi="ar-SA"/>
              </w:rPr>
              <w:drawing>
                <wp:anchor distT="0" distB="0" distL="114300" distR="114300" simplePos="0" relativeHeight="251631616" behindDoc="1" locked="0" layoutInCell="1" allowOverlap="1" wp14:anchorId="617FD899" wp14:editId="00A55AED">
                  <wp:simplePos x="0" y="0"/>
                  <wp:positionH relativeFrom="column">
                    <wp:posOffset>2008505</wp:posOffset>
                  </wp:positionH>
                  <wp:positionV relativeFrom="paragraph">
                    <wp:posOffset>0</wp:posOffset>
                  </wp:positionV>
                  <wp:extent cx="1228725" cy="1645920"/>
                  <wp:effectExtent l="0" t="0" r="9525" b="0"/>
                  <wp:wrapTight wrapText="bothSides">
                    <wp:wrapPolygon edited="0">
                      <wp:start x="0" y="0"/>
                      <wp:lineTo x="0" y="21250"/>
                      <wp:lineTo x="21433" y="21250"/>
                      <wp:lineTo x="214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28725" cy="1645920"/>
                          </a:xfrm>
                          <a:prstGeom prst="rect">
                            <a:avLst/>
                          </a:prstGeom>
                        </pic:spPr>
                      </pic:pic>
                    </a:graphicData>
                  </a:graphic>
                </wp:anchor>
              </w:drawing>
            </w:r>
            <w:r w:rsidRPr="00365F26">
              <w:rPr>
                <w:rFonts w:ascii="Times New Roman" w:eastAsia="SimSun" w:hAnsi="Times New Roman" w:cs="Times New Roman"/>
                <w:b/>
                <w:bCs/>
                <w:noProof/>
                <w:color w:val="auto"/>
                <w:kern w:val="3"/>
                <w:u w:val="single"/>
                <w:lang w:eastAsia="zh-CN" w:bidi="hi-IN"/>
              </w:rPr>
              <w:t>Parametrii tehnici şi funcţionali:</w:t>
            </w:r>
          </w:p>
          <w:p w14:paraId="472606F0"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Diametru obiective: 100mm</w:t>
            </w:r>
          </w:p>
          <w:p w14:paraId="18E506F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Obiective: semi-apocromate </w:t>
            </w:r>
          </w:p>
          <w:p w14:paraId="25493382"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Putere de marire: 25X</w:t>
            </w:r>
          </w:p>
          <w:p w14:paraId="0449CCC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Distanta interpupilara: 58-72mm</w:t>
            </w:r>
          </w:p>
          <w:p w14:paraId="1E41E43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Interval de functionare: intre o secunda si 500 de minute</w:t>
            </w:r>
          </w:p>
          <w:p w14:paraId="60DD8186"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Inaltime pe stand: cca. 1.45m</w:t>
            </w:r>
          </w:p>
          <w:p w14:paraId="2CBEE692"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Ajustare pe verticala: de la -10 la 60 de grade</w:t>
            </w:r>
          </w:p>
          <w:p w14:paraId="32A0304E"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Interior umplut cu azot: da</w:t>
            </w:r>
          </w:p>
          <w:p w14:paraId="4669DBD4"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Alimentare cu energie: 2 acumulatori reincarcabili LiIon inclusi</w:t>
            </w:r>
          </w:p>
          <w:p w14:paraId="6623366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Dimensiuni binoclu: 550 x 250 x 240 mm</w:t>
            </w:r>
          </w:p>
          <w:p w14:paraId="6FEAAD7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Greutate: 54 kg</w:t>
            </w:r>
          </w:p>
          <w:p w14:paraId="190E645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Binoclu Panoramic cu fise 25x100</w:t>
            </w:r>
          </w:p>
          <w:p w14:paraId="582CF01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Binoclul panoramic cu fise  este un instrument robust care rezista nu doar ploii si vantului, ci si vandalismului deoarece are corpul si elementele de protectie fabricate din metal.</w:t>
            </w:r>
          </w:p>
          <w:p w14:paraId="4F02A36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Standul se va prinde in platforma pavilionului de observare</w:t>
            </w:r>
          </w:p>
          <w:p w14:paraId="334471FA"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63D55471"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Se va prezenta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55DF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C2FB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AB162D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8D4A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6A80D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67DDABA5"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3E0EB63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71AE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3B9AE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2931EE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296EF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25DD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0C2784E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321A24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C5B3EE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891E3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58752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7B0064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16482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DA189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0FEF3E5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68375A7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2E9625F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513AC74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FAB24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600F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C54434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ECD57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C6E92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27EABD8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7376C241" w14:textId="77777777" w:rsidR="00FE630B" w:rsidRPr="00365F26" w:rsidRDefault="00FE630B" w:rsidP="00365F26">
            <w:pPr>
              <w:numPr>
                <w:ilvl w:val="0"/>
                <w:numId w:val="7"/>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2E07375E" w14:textId="5FC0F33A"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65E3DF72"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7200117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AC23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D53B6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67A677AD"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84A031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A662C27"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CB8AC0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3AD97C2"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7B59CCA" w14:textId="6D4CDC3A"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38A99E06" w14:textId="5E2016E2"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101AB99E" w14:textId="6C4F89E2"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426998BD" w14:textId="68156B64"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18C5C847" w14:textId="76A10350"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1A0904C2" w14:textId="67084125"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42B80AE6" w14:textId="2986E6F5"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375710D5" w14:textId="222D8E54"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48B9E2EA" w14:textId="1E42FFE7"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0B60130B" w14:textId="7FC74377"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1A742E75" w14:textId="76270CA7"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531D4DD1" w14:textId="263F1B2D"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5E02556D" w14:textId="1A942CC3"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4185F979" w14:textId="4BC07F7B"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32E77A6F" w14:textId="7550CB9D"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37A03754" w14:textId="18775D92"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364D6B87" w14:textId="5322EA71"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7D88C711" w14:textId="0349C51A"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401B158A" w14:textId="6A163795"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715F47E9" w14:textId="6F56AE5A"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6B6BA482" w14:textId="1B930C22"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73454665" w14:textId="43AA8CEC"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00ED19DF" w14:textId="23063537"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4034311C" w14:textId="2D4CD202"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772155D0" w14:textId="54E60A84"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182E50D5" w14:textId="43DFBDEA"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79859F3C" w14:textId="163AA9D9"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6392B6C8" w14:textId="0E7B0567"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208B05BB" w14:textId="10678B16"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B206DD" w:rsidRPr="00365F26" w14:paraId="421AC867" w14:textId="77777777" w:rsidTr="00B206DD">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Kit aparat foto</w:t>
            </w:r>
          </w:p>
        </w:tc>
        <w:tc>
          <w:tcPr>
            <w:tcW w:w="710" w:type="dxa"/>
            <w:tcBorders>
              <w:top w:val="nil"/>
              <w:left w:val="nil"/>
              <w:bottom w:val="single" w:sz="4" w:space="0" w:color="auto"/>
              <w:right w:val="single" w:sz="4" w:space="0" w:color="auto"/>
            </w:tcBorders>
            <w:shd w:val="clear" w:color="auto" w:fill="auto"/>
          </w:tcPr>
          <w:p w14:paraId="53CBBE23"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B206DD" w:rsidRPr="00365F26" w:rsidRDefault="00B206DD" w:rsidP="00DA7C79">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B206DD" w:rsidRPr="00365F26" w:rsidRDefault="00B206DD" w:rsidP="00DA7C79">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nr.21</w:t>
            </w:r>
          </w:p>
        </w:tc>
      </w:tr>
      <w:tr w:rsidR="00B206DD" w:rsidRPr="00365F26" w14:paraId="5B1CC535" w14:textId="77777777" w:rsidTr="00B206DD">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886FAA0"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Laptop</w:t>
            </w:r>
          </w:p>
        </w:tc>
        <w:tc>
          <w:tcPr>
            <w:tcW w:w="710" w:type="dxa"/>
            <w:tcBorders>
              <w:top w:val="nil"/>
              <w:left w:val="nil"/>
              <w:bottom w:val="single" w:sz="4" w:space="0" w:color="auto"/>
              <w:right w:val="single" w:sz="4" w:space="0" w:color="auto"/>
            </w:tcBorders>
            <w:shd w:val="clear" w:color="auto" w:fill="auto"/>
            <w:hideMark/>
          </w:tcPr>
          <w:p w14:paraId="5A856807"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nr.22</w:t>
            </w:r>
          </w:p>
        </w:tc>
      </w:tr>
      <w:tr w:rsidR="00B206DD" w:rsidRPr="00365F26" w14:paraId="57369F83" w14:textId="77777777" w:rsidTr="00B206DD">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9C663A8"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4AEA2954"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Videoproiector</w:t>
            </w:r>
          </w:p>
        </w:tc>
        <w:tc>
          <w:tcPr>
            <w:tcW w:w="710" w:type="dxa"/>
            <w:tcBorders>
              <w:top w:val="nil"/>
              <w:left w:val="nil"/>
              <w:bottom w:val="single" w:sz="4" w:space="0" w:color="auto"/>
              <w:right w:val="single" w:sz="4" w:space="0" w:color="auto"/>
            </w:tcBorders>
            <w:shd w:val="clear" w:color="auto" w:fill="auto"/>
          </w:tcPr>
          <w:p w14:paraId="14405AC1"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nr.24</w:t>
            </w:r>
          </w:p>
        </w:tc>
      </w:tr>
      <w:tr w:rsidR="00B206DD" w:rsidRPr="00365F26" w14:paraId="23BD710D" w14:textId="77777777" w:rsidTr="00B206DD">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65925940"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3A76E556"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Suport videoproiector</w:t>
            </w:r>
          </w:p>
        </w:tc>
        <w:tc>
          <w:tcPr>
            <w:tcW w:w="710" w:type="dxa"/>
            <w:tcBorders>
              <w:top w:val="nil"/>
              <w:left w:val="nil"/>
              <w:bottom w:val="single" w:sz="4" w:space="0" w:color="auto"/>
              <w:right w:val="single" w:sz="4" w:space="0" w:color="auto"/>
            </w:tcBorders>
            <w:shd w:val="clear" w:color="auto" w:fill="auto"/>
          </w:tcPr>
          <w:p w14:paraId="7E48DC18"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nr.25</w:t>
            </w:r>
          </w:p>
        </w:tc>
      </w:tr>
      <w:tr w:rsidR="00B206DD" w:rsidRPr="00365F26" w14:paraId="049DEED3" w14:textId="77777777" w:rsidTr="00B206DD">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5A6B5E6"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5</w:t>
            </w:r>
          </w:p>
        </w:tc>
        <w:tc>
          <w:tcPr>
            <w:tcW w:w="2895" w:type="dxa"/>
            <w:tcBorders>
              <w:top w:val="nil"/>
              <w:left w:val="nil"/>
              <w:bottom w:val="single" w:sz="4" w:space="0" w:color="auto"/>
              <w:right w:val="single" w:sz="4" w:space="0" w:color="auto"/>
            </w:tcBorders>
            <w:shd w:val="clear" w:color="auto" w:fill="auto"/>
            <w:vAlign w:val="center"/>
          </w:tcPr>
          <w:p w14:paraId="579CF88B"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Ecran proiectie cu tripod</w:t>
            </w:r>
          </w:p>
        </w:tc>
        <w:tc>
          <w:tcPr>
            <w:tcW w:w="710" w:type="dxa"/>
            <w:tcBorders>
              <w:top w:val="nil"/>
              <w:left w:val="nil"/>
              <w:bottom w:val="single" w:sz="4" w:space="0" w:color="auto"/>
              <w:right w:val="single" w:sz="4" w:space="0" w:color="auto"/>
            </w:tcBorders>
            <w:shd w:val="clear" w:color="auto" w:fill="auto"/>
          </w:tcPr>
          <w:p w14:paraId="3BF7CAFB"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C32DAE6"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604699F"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254B7D9"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71DFDC9"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nr.26</w:t>
            </w:r>
          </w:p>
        </w:tc>
      </w:tr>
      <w:tr w:rsidR="00B206DD" w:rsidRPr="00365F26" w14:paraId="2C2ABACF" w14:textId="77777777" w:rsidTr="00B206DD">
        <w:trPr>
          <w:trHeight w:val="41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9DFD039"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6</w:t>
            </w:r>
          </w:p>
        </w:tc>
        <w:tc>
          <w:tcPr>
            <w:tcW w:w="2895" w:type="dxa"/>
            <w:tcBorders>
              <w:top w:val="nil"/>
              <w:left w:val="nil"/>
              <w:bottom w:val="single" w:sz="4" w:space="0" w:color="auto"/>
              <w:right w:val="single" w:sz="4" w:space="0" w:color="auto"/>
            </w:tcBorders>
            <w:shd w:val="clear" w:color="auto" w:fill="auto"/>
            <w:vAlign w:val="center"/>
          </w:tcPr>
          <w:p w14:paraId="5A43DDB1"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Televizor</w:t>
            </w:r>
          </w:p>
        </w:tc>
        <w:tc>
          <w:tcPr>
            <w:tcW w:w="710" w:type="dxa"/>
            <w:tcBorders>
              <w:top w:val="nil"/>
              <w:left w:val="nil"/>
              <w:bottom w:val="single" w:sz="4" w:space="0" w:color="auto"/>
              <w:right w:val="single" w:sz="4" w:space="0" w:color="auto"/>
            </w:tcBorders>
            <w:shd w:val="clear" w:color="auto" w:fill="auto"/>
          </w:tcPr>
          <w:p w14:paraId="789CB7F9"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4AC225"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206D47D"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B12B174"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572E7426"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nr.16</w:t>
            </w:r>
          </w:p>
        </w:tc>
      </w:tr>
      <w:tr w:rsidR="00B206DD" w:rsidRPr="00365F26" w14:paraId="7B854A7E" w14:textId="77777777" w:rsidTr="00B206DD">
        <w:trPr>
          <w:trHeight w:val="24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E4D6B57"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7</w:t>
            </w:r>
          </w:p>
        </w:tc>
        <w:tc>
          <w:tcPr>
            <w:tcW w:w="2895" w:type="dxa"/>
            <w:tcBorders>
              <w:top w:val="nil"/>
              <w:left w:val="nil"/>
              <w:bottom w:val="single" w:sz="4" w:space="0" w:color="auto"/>
              <w:right w:val="single" w:sz="4" w:space="0" w:color="auto"/>
            </w:tcBorders>
            <w:shd w:val="clear" w:color="auto" w:fill="auto"/>
            <w:vAlign w:val="center"/>
          </w:tcPr>
          <w:p w14:paraId="7B1BE821"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Suport televizor</w:t>
            </w:r>
          </w:p>
        </w:tc>
        <w:tc>
          <w:tcPr>
            <w:tcW w:w="710" w:type="dxa"/>
            <w:tcBorders>
              <w:top w:val="nil"/>
              <w:left w:val="nil"/>
              <w:bottom w:val="single" w:sz="4" w:space="0" w:color="auto"/>
              <w:right w:val="single" w:sz="4" w:space="0" w:color="auto"/>
            </w:tcBorders>
            <w:shd w:val="clear" w:color="auto" w:fill="auto"/>
          </w:tcPr>
          <w:p w14:paraId="78A5402F"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769C3133"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118618B"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7F63009C"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41B6F3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nr.27</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9"/>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6"/>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94D8B"/>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B1FB0"/>
    <w:rsid w:val="00EC39D1"/>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13</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105</cp:revision>
  <dcterms:created xsi:type="dcterms:W3CDTF">2022-05-06T14:28:00Z</dcterms:created>
  <dcterms:modified xsi:type="dcterms:W3CDTF">2023-01-10T13:18:00Z</dcterms:modified>
</cp:coreProperties>
</file>